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Default="009B090F" w:rsidP="001856E4">
      <w:pPr>
        <w:spacing w:after="120" w:line="240" w:lineRule="auto"/>
        <w:jc w:val="center"/>
        <w:rPr>
          <w:rFonts w:ascii="Palatino Linotype" w:hAnsi="Palatino Linotype" w:cs="Palatino Linotype"/>
          <w:b/>
          <w:sz w:val="20"/>
          <w:szCs w:val="20"/>
          <w:lang w:eastAsia="ar-SA"/>
        </w:rPr>
      </w:pPr>
      <w:r>
        <w:rPr>
          <w:rFonts w:ascii="Palatino Linotype" w:hAnsi="Palatino Linotype" w:cs="Palatino Linotype"/>
          <w:b/>
          <w:sz w:val="20"/>
          <w:szCs w:val="20"/>
          <w:lang w:eastAsia="ar-SA"/>
        </w:rPr>
        <w:t>PROJETO BÁSICO</w:t>
      </w:r>
    </w:p>
    <w:p w:rsidR="008D15C4" w:rsidRDefault="009B090F" w:rsidP="001856E4">
      <w:pPr>
        <w:spacing w:after="120" w:line="240" w:lineRule="auto"/>
        <w:jc w:val="center"/>
        <w:rPr>
          <w:rFonts w:ascii="Palatino Linotype" w:hAnsi="Palatino Linotype" w:cs="Palatino Linotype"/>
          <w:sz w:val="20"/>
          <w:szCs w:val="20"/>
          <w:lang w:eastAsia="ar-SA"/>
        </w:rPr>
      </w:pPr>
      <w:r>
        <w:rPr>
          <w:rFonts w:ascii="Palatino Linotype" w:hAnsi="Palatino Linotype" w:cs="Palatino Linotype"/>
          <w:sz w:val="20"/>
          <w:szCs w:val="20"/>
          <w:lang w:eastAsia="ar-SA"/>
        </w:rPr>
        <w:t>(OBRA DE ENGENHARIA)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OBJETO</w:t>
      </w:r>
      <w:bookmarkStart w:id="0" w:name="_GoBack"/>
      <w:bookmarkEnd w:id="0"/>
    </w:p>
    <w:p w:rsidR="00BC6201" w:rsidRPr="008A6A1B" w:rsidRDefault="009B090F" w:rsidP="00D24312">
      <w:pPr>
        <w:widowControl w:val="0"/>
        <w:numPr>
          <w:ilvl w:val="1"/>
          <w:numId w:val="2"/>
        </w:numPr>
        <w:suppressAutoHyphens/>
        <w:spacing w:after="283"/>
        <w:jc w:val="both"/>
      </w:pPr>
      <w:r>
        <w:rPr>
          <w:rFonts w:ascii="Palatino Linotype" w:hAnsi="Palatino Linotype" w:cs="Palatino Linotype"/>
          <w:sz w:val="20"/>
          <w:szCs w:val="20"/>
        </w:rPr>
        <w:t xml:space="preserve">Contratação de </w:t>
      </w:r>
      <w:r w:rsidRPr="00D46763">
        <w:rPr>
          <w:rFonts w:ascii="Palatino Linotype" w:hAnsi="Palatino Linotype" w:cs="Palatino Linotype"/>
          <w:sz w:val="20"/>
          <w:szCs w:val="20"/>
        </w:rPr>
        <w:t xml:space="preserve">empresa especializada para execução de obra de engenharia referente </w:t>
      </w:r>
      <w:r w:rsidR="00D46763">
        <w:rPr>
          <w:rFonts w:ascii="Palatino Linotype" w:hAnsi="Palatino Linotype" w:cs="Palatino Linotype"/>
          <w:sz w:val="20"/>
          <w:szCs w:val="20"/>
        </w:rPr>
        <w:t xml:space="preserve">a </w:t>
      </w:r>
      <w:r w:rsidR="00D24312" w:rsidRPr="00D24312">
        <w:rPr>
          <w:rFonts w:ascii="Palatino Linotype" w:hAnsi="Palatino Linotype" w:cs="Palatino Linotype"/>
          <w:b/>
          <w:sz w:val="20"/>
          <w:szCs w:val="20"/>
        </w:rPr>
        <w:t>Obras e Serviços de reforma e ampliação do Mercado Público de Arapiraca/AL</w:t>
      </w:r>
      <w:r w:rsidR="001739EE" w:rsidRPr="001739EE">
        <w:rPr>
          <w:rFonts w:ascii="Palatino Linotype" w:hAnsi="Palatino Linotype" w:cs="Palatino Linotype"/>
          <w:b/>
          <w:sz w:val="20"/>
          <w:szCs w:val="20"/>
        </w:rPr>
        <w:t>.</w:t>
      </w:r>
      <w:r w:rsidR="00D30586">
        <w:rPr>
          <w:rFonts w:ascii="Palatino Linotype" w:hAnsi="Palatino Linotype" w:cs="Palatino Linotype"/>
          <w:b/>
          <w:sz w:val="20"/>
          <w:szCs w:val="20"/>
        </w:rPr>
        <w:t>,</w:t>
      </w:r>
      <w:r w:rsidR="001856E4">
        <w:rPr>
          <w:rFonts w:ascii="Palatino Linotype" w:hAnsi="Palatino Linotype" w:cs="Palatino Linotype"/>
          <w:sz w:val="20"/>
          <w:szCs w:val="20"/>
        </w:rPr>
        <w:t xml:space="preserve"> </w:t>
      </w:r>
      <w:r>
        <w:rPr>
          <w:rFonts w:ascii="Palatino Linotype" w:hAnsi="Palatino Linotype" w:cs="Palatino Linotype"/>
          <w:sz w:val="20"/>
          <w:szCs w:val="20"/>
        </w:rPr>
        <w:t>conforme condições, quantidades e exigências estabelecidas neste instrumento.</w:t>
      </w:r>
    </w:p>
    <w:p w:rsidR="008A6A1B" w:rsidRDefault="008A6A1B" w:rsidP="008A6A1B">
      <w:pPr>
        <w:widowControl w:val="0"/>
        <w:suppressAutoHyphens/>
        <w:spacing w:after="283"/>
        <w:ind w:left="284"/>
        <w:jc w:val="both"/>
      </w:pPr>
      <w:r>
        <w:t>1.2. Os quantitativos e respectivos códigos dos itens são os discriminados no anexo do Projeto Básico.</w:t>
      </w:r>
    </w:p>
    <w:p w:rsidR="008A6A1B" w:rsidRDefault="00477E3D" w:rsidP="008A6A1B">
      <w:pPr>
        <w:widowControl w:val="0"/>
        <w:suppressAutoHyphens/>
        <w:spacing w:after="283"/>
        <w:ind w:left="284"/>
        <w:jc w:val="both"/>
      </w:pPr>
      <w:r>
        <w:t>1.3</w:t>
      </w:r>
      <w:r w:rsidR="008A6A1B">
        <w:t xml:space="preserve">. O regime de execução do contrato será o de </w:t>
      </w:r>
      <w:r w:rsidR="008A6A1B" w:rsidRPr="00FA713C">
        <w:t xml:space="preserve">EMPREITADA </w:t>
      </w:r>
      <w:r w:rsidR="002A2CC1">
        <w:t>POR PREÇO GLOBAL</w:t>
      </w:r>
      <w:r w:rsidR="008A6A1B">
        <w:t>.</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VISTORIA</w:t>
      </w:r>
    </w:p>
    <w:p w:rsidR="008D15C4" w:rsidRDefault="009B090F" w:rsidP="001856E4">
      <w:pPr>
        <w:widowControl w:val="0"/>
        <w:suppressAutoHyphens/>
        <w:spacing w:after="283" w:line="240" w:lineRule="auto"/>
        <w:ind w:left="284"/>
        <w:jc w:val="both"/>
      </w:pPr>
      <w:r>
        <w:rPr>
          <w:rFonts w:ascii="Palatino Linotype" w:hAnsi="Palatino Linotype" w:cs="Palatino Linotype"/>
          <w:sz w:val="20"/>
          <w:szCs w:val="20"/>
        </w:rPr>
        <w:t xml:space="preserve">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w:t>
      </w:r>
      <w:proofErr w:type="gramStart"/>
      <w:r>
        <w:rPr>
          <w:rFonts w:ascii="Palatino Linotype" w:hAnsi="Palatino Linotype" w:cs="Palatino Linotype"/>
          <w:sz w:val="20"/>
          <w:szCs w:val="20"/>
        </w:rPr>
        <w:t>sob pena</w:t>
      </w:r>
      <w:proofErr w:type="gramEnd"/>
      <w:r>
        <w:rPr>
          <w:rFonts w:ascii="Palatino Linotype" w:hAnsi="Palatino Linotype" w:cs="Palatino Linotype"/>
          <w:sz w:val="20"/>
          <w:szCs w:val="20"/>
        </w:rPr>
        <w:t xml:space="preserve"> de lei, pela execução de serviços nas condições em que se encontra.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EXECUÇÃO DOS SERVIÇOS E SEU RECEBIMENTO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execução dos serviços será iniciada após o recebimento da Ordem de Serviços pela Contratada, cujas etapas observarão o cronograma constante em anexo a este instrumento;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O recebimento provisório também ficará sujeito, quando cabível, à conclusão de todos os testes de campo e à entrega dos Manuais e Instruções exigíveis;</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Após tal inspeção, será lavrado Termo de Recebimento Provisório, em 02 (duas) vias de igual teor e forma, ambas assinadas pela comissão de Recebimento, relatando as eventuais pendências verificadas;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8D15C4" w:rsidRDefault="009B090F">
      <w:pPr>
        <w:numPr>
          <w:ilvl w:val="1"/>
          <w:numId w:val="2"/>
        </w:numPr>
        <w:spacing w:after="360"/>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lastRenderedPageBreak/>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Pr>
          <w:rFonts w:ascii="Palatino Linotype" w:hAnsi="Palatino Linotype" w:cs="Palatino Linotype"/>
          <w:iCs/>
          <w:color w:val="000000"/>
          <w:sz w:val="20"/>
          <w:szCs w:val="20"/>
        </w:rPr>
        <w:t>após</w:t>
      </w:r>
      <w:proofErr w:type="gramEnd"/>
      <w:r>
        <w:rPr>
          <w:rFonts w:ascii="Palatino Linotype" w:hAnsi="Palatino Linotype" w:cs="Palatino Linotype"/>
          <w:iCs/>
          <w:color w:val="000000"/>
          <w:sz w:val="20"/>
          <w:szCs w:val="20"/>
        </w:rPr>
        <w:t xml:space="preserve"> solucionadas todas as reclamações porventura feitas quanto à falta de pagamento a operários ou fornecedores de materiais e prestadores de serviços empregados na execução do contrato;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Pr>
          <w:rFonts w:ascii="Palatino Linotype" w:hAnsi="Palatino Linotype" w:cs="Palatino Linotype"/>
          <w:sz w:val="20"/>
          <w:szCs w:val="20"/>
          <w:lang w:eastAsia="ar-SA"/>
        </w:rPr>
        <w:t>às custas</w:t>
      </w:r>
      <w:proofErr w:type="gramEnd"/>
      <w:r>
        <w:rPr>
          <w:rFonts w:ascii="Palatino Linotype" w:hAnsi="Palatino Linotype" w:cs="Palatino Linotype"/>
          <w:sz w:val="20"/>
          <w:szCs w:val="20"/>
          <w:lang w:eastAsia="ar-SA"/>
        </w:rPr>
        <w:t xml:space="preserve"> da contratada, sem prejuízo da aplicação de penalidades.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CONTRATANTE</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o cumprimento de todas as obrigações assumidas pela Contratada, de acordo com as cláusulas contratuais e os termos de sua proposta;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Pagar à Contratada o valor resultante da prestação do serviço, conforme cronograma físico-financeiro ou disponibilidade financeira administrativa.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Efetuar as retenções tributárias devidas sobre o valor da fatura de serviços da Contratada, em conformidade com a legislação em vigor;</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Fornecer por escrito </w:t>
      </w:r>
      <w:proofErr w:type="gramStart"/>
      <w:r>
        <w:rPr>
          <w:rFonts w:ascii="Palatino Linotype" w:hAnsi="Palatino Linotype" w:cs="Palatino Linotype"/>
          <w:sz w:val="20"/>
          <w:szCs w:val="20"/>
          <w:lang w:eastAsia="ar-SA"/>
        </w:rPr>
        <w:t>as</w:t>
      </w:r>
      <w:proofErr w:type="gramEnd"/>
      <w:r>
        <w:rPr>
          <w:rFonts w:ascii="Palatino Linotype" w:hAnsi="Palatino Linotype" w:cs="Palatino Linotype"/>
          <w:sz w:val="20"/>
          <w:szCs w:val="20"/>
          <w:lang w:eastAsia="ar-SA"/>
        </w:rPr>
        <w:t xml:space="preserve"> informações necessárias para o desenvolvimento dos serviços objeto do contrato;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lastRenderedPageBreak/>
        <w:t>Realizar avaliações periódicas da qualidade dos serviços, após seu recebimento;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Cientificar o órgão de representação judicial da Administração para adoção das medidas cabíveis quando do descumprimento das obrigações pela Contratada;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Arquivamento, entre outros documentos, de projetos, "as </w:t>
      </w:r>
      <w:proofErr w:type="spellStart"/>
      <w:r>
        <w:rPr>
          <w:rFonts w:ascii="Palatino Linotype" w:hAnsi="Palatino Linotype" w:cs="Palatino Linotype"/>
          <w:sz w:val="20"/>
          <w:szCs w:val="20"/>
          <w:lang w:eastAsia="ar-SA"/>
        </w:rPr>
        <w:t>built</w:t>
      </w:r>
      <w:proofErr w:type="spellEnd"/>
      <w:r>
        <w:rPr>
          <w:rFonts w:ascii="Palatino Linotype" w:hAnsi="Palatino Linotype" w:cs="Palatino Linotype"/>
          <w:sz w:val="20"/>
          <w:szCs w:val="20"/>
          <w:lang w:eastAsia="ar-SA"/>
        </w:rPr>
        <w:t>", especificações técnicas, orçamentos, termos de recebimento, contratos e aditamentos, relatórios de inspeções técnicas após o recebimento do serviço e notificações expedidas;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da Contratada que providencie a seguinte documentação como condição indispensável para o recebimento definitivo de objeto, quando for o caso:</w:t>
      </w:r>
    </w:p>
    <w:p w:rsidR="008D15C4" w:rsidRDefault="009B090F">
      <w:pPr>
        <w:numPr>
          <w:ilvl w:val="2"/>
          <w:numId w:val="2"/>
        </w:numPr>
        <w:spacing w:after="360"/>
        <w:ind w:left="567"/>
        <w:jc w:val="both"/>
      </w:pPr>
      <w:r>
        <w:rPr>
          <w:rFonts w:ascii="Palatino Linotype" w:hAnsi="Palatino Linotype" w:cs="Palatino Linotype"/>
          <w:sz w:val="20"/>
          <w:szCs w:val="20"/>
        </w:rPr>
        <w:t>"</w:t>
      </w:r>
      <w:r>
        <w:rPr>
          <w:rFonts w:ascii="Palatino Linotype" w:hAnsi="Palatino Linotype" w:cs="Palatino Linotype"/>
          <w:i/>
          <w:sz w:val="20"/>
          <w:szCs w:val="20"/>
        </w:rPr>
        <w:t xml:space="preserve">as </w:t>
      </w:r>
      <w:proofErr w:type="spellStart"/>
      <w:r>
        <w:rPr>
          <w:rFonts w:ascii="Palatino Linotype" w:hAnsi="Palatino Linotype" w:cs="Palatino Linotype"/>
          <w:i/>
          <w:sz w:val="20"/>
          <w:szCs w:val="20"/>
        </w:rPr>
        <w:t>built</w:t>
      </w:r>
      <w:proofErr w:type="spellEnd"/>
      <w:r>
        <w:rPr>
          <w:rFonts w:ascii="Palatino Linotype" w:hAnsi="Palatino Linotype" w:cs="Palatino Linotype"/>
          <w:sz w:val="20"/>
          <w:szCs w:val="20"/>
        </w:rPr>
        <w:t>", elaborado pelo responsável por sua execução;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comprovação</w:t>
      </w:r>
      <w:proofErr w:type="gramEnd"/>
      <w:r>
        <w:rPr>
          <w:rFonts w:ascii="Palatino Linotype" w:hAnsi="Palatino Linotype" w:cs="Palatino Linotype"/>
          <w:sz w:val="20"/>
          <w:szCs w:val="20"/>
        </w:rPr>
        <w:t xml:space="preserve"> das ligações definitivas de energia, água, telefone e gás;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laudo</w:t>
      </w:r>
      <w:proofErr w:type="gramEnd"/>
      <w:r>
        <w:rPr>
          <w:rFonts w:ascii="Palatino Linotype" w:hAnsi="Palatino Linotype" w:cs="Palatino Linotype"/>
          <w:sz w:val="20"/>
          <w:szCs w:val="20"/>
        </w:rPr>
        <w:t xml:space="preserve"> de vistoria do corpo de bombeiros aprovando o serviço;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carta</w:t>
      </w:r>
      <w:proofErr w:type="gramEnd"/>
      <w:r>
        <w:rPr>
          <w:rFonts w:ascii="Palatino Linotype" w:hAnsi="Palatino Linotype" w:cs="Palatino Linotype"/>
          <w:sz w:val="20"/>
          <w:szCs w:val="20"/>
        </w:rPr>
        <w:t xml:space="preserve"> "habite-se", emitida pela prefeitura;</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certidão</w:t>
      </w:r>
      <w:proofErr w:type="gramEnd"/>
      <w:r>
        <w:rPr>
          <w:rFonts w:ascii="Palatino Linotype" w:hAnsi="Palatino Linotype" w:cs="Palatino Linotype"/>
          <w:sz w:val="20"/>
          <w:szCs w:val="20"/>
        </w:rPr>
        <w:t xml:space="preserve"> negativa de débitos previdenciários específica para o registro da obra junto ao Cartório de Registro de Imóveis;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a</w:t>
      </w:r>
      <w:proofErr w:type="gramEnd"/>
      <w:r>
        <w:rPr>
          <w:rFonts w:ascii="Palatino Linotype" w:hAnsi="Palatino Linotype" w:cs="Palatino Linotype"/>
          <w:sz w:val="20"/>
          <w:szCs w:val="20"/>
        </w:rPr>
        <w:t xml:space="preserve"> reparação dos vícios verificados dentro do prazo de garantia do serviço, tendo em vista o direito assegurado à Contratante no art. 69 da Lei nº 8.666/93 e no art. 12 da Lei nº 8.078/90 (Código de Defesa do Consumidor).</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CONTRATADA</w:t>
      </w:r>
    </w:p>
    <w:p w:rsidR="008D15C4" w:rsidRDefault="009B090F">
      <w:pPr>
        <w:numPr>
          <w:ilvl w:val="1"/>
          <w:numId w:val="2"/>
        </w:numPr>
        <w:spacing w:after="360"/>
        <w:jc w:val="both"/>
      </w:pPr>
      <w:r>
        <w:rPr>
          <w:rFonts w:ascii="Palatino Linotype" w:hAnsi="Palatino Linotype" w:cs="Palatino Linotype"/>
          <w:color w:val="000000"/>
          <w:sz w:val="20"/>
          <w:szCs w:val="20"/>
        </w:rPr>
        <w:t xml:space="preserve">Executar os serviços conforme especificações deste Projeto Básico e de sua proposta, com a alocação dos empregados necessários ao perfeito cumprimento das cláusulas contratuais, </w:t>
      </w:r>
      <w:r>
        <w:rPr>
          <w:rFonts w:ascii="Palatino Linotype" w:hAnsi="Palatino Linotype" w:cs="Palatino Linotype"/>
          <w:sz w:val="20"/>
        </w:rPr>
        <w:t>além de fornecer e utilizar os materiais e equipamentos, ferramentas e utensílios necessários, na qualidade e quantidade mínimas especificadas neste instrumento e em sua proposta</w:t>
      </w:r>
      <w:r>
        <w:rPr>
          <w:rFonts w:ascii="Palatino Linotype" w:hAnsi="Palatino Linotype" w:cs="Palatino Linotype"/>
          <w:color w:val="000000"/>
          <w:sz w:val="20"/>
          <w:szCs w:val="20"/>
        </w:rPr>
        <w:t>;</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Manter os empregados nos horários predeterminados pela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Pr>
          <w:rFonts w:ascii="Palatino Linotype" w:hAnsi="Palatino Linotype" w:cs="Palatino Linotype"/>
          <w:color w:val="000000"/>
          <w:sz w:val="20"/>
          <w:szCs w:val="20"/>
        </w:rPr>
        <w:t>caso exigida</w:t>
      </w:r>
      <w:proofErr w:type="gramEnd"/>
      <w:r>
        <w:rPr>
          <w:rFonts w:ascii="Palatino Linotype" w:hAnsi="Palatino Linotype" w:cs="Palatino Linotype"/>
          <w:color w:val="000000"/>
          <w:sz w:val="20"/>
          <w:szCs w:val="20"/>
        </w:rPr>
        <w:t xml:space="preserve"> no edital, ou dos pagamentos devidos à Contratada, o valor correspondente aos danos sofridos;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Utilizar empregados habilitados e com conhecimentos básicos dos serviços a serem executados, em conformidade com as normas e determinações em vigor;</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os empregados devidamente identificados por meio de crachá, além de provê-los com os Equipamentos de Proteção Individual - EPI;</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à Contratante, quando for o caso, a relação nominal dos empregados que adentrarão no órgão para a execução do serviço;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Responsabilizar-se por todas as obrigações trabalhistas, sociais, previdenciárias, tributárias e as demais previstas na legislação específica, cuja inadimplência não transfere responsabilidade à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quando solicitado pela Administração, atestado de antecedentes criminais e distribuição cível de toda a mão de obra oferecida para atuar nas instalações do órgão;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quanto à necessidade de acatar as Normas Internas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Relatar à Contratante toda e qualquer irregularidade verificada no decorrer da prestação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durante toda a vigência do contrato, em compatibilidade com as obrigações assumidas, todas as condições de habilitação e qualificação exigidas na licitação;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Guardar sigilo sobre todas as informações obtidas em decorrência do cumprimento do contrato;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preposto aceito pela Contratante nos horários e locais de prestação de serviço para representá-la na execução do contrato com capacidade para tomar decisões compatíveis com os compromissos assumidos;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Cumprir, além dos postulados legais vigentes de âmbito federal, estadual ou municipal, as normas de segurança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Instruir os seus empregados, quanto à prevenção de incêndios nas áreas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Comunicar ao Fiscal do contrato, no prazo de 24 (vinte e quatro) horas, qualquer ocorrência anormal ou acidente que se verifique no local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Paralisar, por determinação da Contratante, qualquer atividade que não esteja sendo executada de acordo com a boa técnica ou que ponha em risco a segurança de pessoas ou bens de terceiros;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Adotar as providências e precauções necessárias, inclusive consulta nos respectivos órgãos, se necessário for, a fim de que não venham a </w:t>
      </w:r>
      <w:proofErr w:type="gramStart"/>
      <w:r>
        <w:rPr>
          <w:rFonts w:ascii="Palatino Linotype" w:hAnsi="Palatino Linotype" w:cs="Palatino Linotype"/>
          <w:color w:val="000000"/>
          <w:sz w:val="20"/>
          <w:szCs w:val="20"/>
        </w:rPr>
        <w:t>ser</w:t>
      </w:r>
      <w:proofErr w:type="gramEnd"/>
      <w:r>
        <w:rPr>
          <w:rFonts w:ascii="Palatino Linotype" w:hAnsi="Palatino Linotype" w:cs="Palatino Linotype"/>
          <w:color w:val="000000"/>
          <w:sz w:val="20"/>
          <w:szCs w:val="20"/>
        </w:rPr>
        <w:t xml:space="preserve"> danificadas as redes </w:t>
      </w:r>
      <w:proofErr w:type="spellStart"/>
      <w:r>
        <w:rPr>
          <w:rFonts w:ascii="Palatino Linotype" w:hAnsi="Palatino Linotype" w:cs="Palatino Linotype"/>
          <w:color w:val="000000"/>
          <w:sz w:val="20"/>
          <w:szCs w:val="20"/>
        </w:rPr>
        <w:t>hidrossanitárias</w:t>
      </w:r>
      <w:proofErr w:type="spellEnd"/>
      <w:r>
        <w:rPr>
          <w:rFonts w:ascii="Palatino Linotype" w:hAnsi="Palatino Linotype" w:cs="Palatino Linotype"/>
          <w:color w:val="000000"/>
          <w:sz w:val="20"/>
          <w:szCs w:val="20"/>
        </w:rPr>
        <w:t>, elétricas e de comunicação;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guarda, manutenção e vigilância de materiais, ferramentas, e tudo o que for necessário à execução dos serviços, durante a vigência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Providenciar junto ao CREA e/ou ao CAU-BR as Anotações e Registros de Responsabilidade </w:t>
      </w:r>
      <w:proofErr w:type="gramStart"/>
      <w:r>
        <w:rPr>
          <w:rFonts w:ascii="Palatino Linotype" w:hAnsi="Palatino Linotype" w:cs="Palatino Linotype"/>
          <w:sz w:val="20"/>
        </w:rPr>
        <w:t>Técnica referentes ao objeto do contrato e especialidades pertinentes, nos termos das normas pertinentes</w:t>
      </w:r>
      <w:proofErr w:type="gramEnd"/>
      <w:r>
        <w:rPr>
          <w:rFonts w:ascii="Palatino Linotype" w:hAnsi="Palatino Linotype" w:cs="Palatino Linotype"/>
          <w:sz w:val="20"/>
        </w:rPr>
        <w:t xml:space="preserve"> (Leis </w:t>
      </w:r>
      <w:r w:rsidR="005C1952">
        <w:rPr>
          <w:rFonts w:ascii="Palatino Linotype" w:hAnsi="Palatino Linotype" w:cs="Palatino Linotype"/>
          <w:sz w:val="20"/>
        </w:rPr>
        <w:t>n.º</w:t>
      </w:r>
      <w:r>
        <w:rPr>
          <w:rFonts w:ascii="Palatino Linotype" w:hAnsi="Palatino Linotype" w:cs="Palatino Linotype"/>
          <w:sz w:val="20"/>
        </w:rPr>
        <w:t xml:space="preserve"> 6.496/77 e 12.378/2010);</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Obter junto ao Município, conforme o caso, as licenças necessárias e demais documentos e autorizações exigíveis, na forma da legislação aplicável;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Ceder os direitos patrimoniais relativos ao projeto ou serviço técnico especializado, para que a Administração possa utilizá-lo de acordo com o previsto neste Projeto Básico e seus anexos, conforme artigo 111 da Lei n°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Assegurar à CONTRATANTE: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Os direitos autorais da solução, do projeto, de suas especificações técnicas, da </w:t>
      </w:r>
      <w:proofErr w:type="gramStart"/>
      <w:r>
        <w:rPr>
          <w:rFonts w:ascii="Palatino Linotype" w:hAnsi="Palatino Linotype" w:cs="Palatino Linotype"/>
          <w:sz w:val="20"/>
        </w:rPr>
        <w:t>documentação produzida e congêneres</w:t>
      </w:r>
      <w:proofErr w:type="gramEnd"/>
      <w:r>
        <w:rPr>
          <w:rFonts w:ascii="Palatino Linotype" w:hAnsi="Palatino Linotype" w:cs="Palatino Linotype"/>
          <w:sz w:val="20"/>
        </w:rPr>
        <w:t xml:space="preserve">, e de todos os demais produtos gerados na execução do contrato, inclusive aqueles produzidos por terceiros subcontratados, ficando proibida a sua </w:t>
      </w:r>
      <w:r>
        <w:rPr>
          <w:rFonts w:ascii="Palatino Linotype" w:hAnsi="Palatino Linotype" w:cs="Palatino Linotype"/>
          <w:sz w:val="20"/>
        </w:rPr>
        <w:lastRenderedPageBreak/>
        <w:t>utilização sem que exista autorização expressa da Contratante, sob pena de multa, sem prejuízo das sanções civis e penais cabíveis.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organização técnica e administrativa dos serviços, de modo a conduzi-los eficaz e eficientemente, de acordo com os documentos e especificações que integram este Projeto Básico, no prazo determinado;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Submeter previamente, por escrito, à Contratante, para análise e aprovação, quaisquer mudanças nos métodos executivos que fujam às especificações do memorial descritivo;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Utilizar somente matéria-prima florestal procedente, nos termos do artigo 11 do Decreto n° 5.975, de 2006, de: (a) manejo florestal, realizado por meio de Plano de Manejo Florestal Sustentável - PMFS</w:t>
      </w:r>
      <w:proofErr w:type="gramStart"/>
      <w:r>
        <w:rPr>
          <w:rFonts w:ascii="Palatino Linotype" w:hAnsi="Palatino Linotype" w:cs="Palatino Linotype"/>
          <w:sz w:val="20"/>
        </w:rPr>
        <w:t xml:space="preserve">  </w:t>
      </w:r>
      <w:proofErr w:type="gramEnd"/>
      <w:r>
        <w:rPr>
          <w:rFonts w:ascii="Palatino Linotype" w:hAnsi="Palatino Linotype" w:cs="Palatino Linotype"/>
          <w:sz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Comprovar a procedência legal dos produtos ou subprodutos florestais utilizados em cada etapa da execução contratual, por ocasião da respectiva medição, mediante a apresentação dos seguintes documentos, conforme o caso:</w:t>
      </w:r>
    </w:p>
    <w:p w:rsidR="008D15C4" w:rsidRDefault="009B090F">
      <w:pPr>
        <w:numPr>
          <w:ilvl w:val="2"/>
          <w:numId w:val="2"/>
        </w:numPr>
        <w:spacing w:after="360"/>
        <w:ind w:left="567"/>
        <w:jc w:val="both"/>
        <w:rPr>
          <w:rFonts w:ascii="Palatino Linotype" w:hAnsi="Palatino Linotype" w:cs="Palatino Linotype"/>
          <w:sz w:val="20"/>
        </w:rPr>
      </w:pPr>
      <w:bookmarkStart w:id="1" w:name="_Hlk491881345"/>
      <w:r>
        <w:rPr>
          <w:rFonts w:ascii="Palatino Linotype" w:hAnsi="Palatino Linotype" w:cs="Palatino Linotype"/>
          <w:sz w:val="20"/>
        </w:rPr>
        <w:t>Cópias autenticadas das notas fiscais de aquisição dos produtos ou subprodutos florestais;</w:t>
      </w:r>
      <w:bookmarkEnd w:id="1"/>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lastRenderedPageBreak/>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Default="009B090F">
      <w:pPr>
        <w:numPr>
          <w:ilvl w:val="3"/>
          <w:numId w:val="2"/>
        </w:numPr>
        <w:spacing w:before="120" w:after="360" w:line="276" w:lineRule="auto"/>
        <w:ind w:left="851"/>
        <w:jc w:val="both"/>
        <w:rPr>
          <w:rFonts w:ascii="Palatino Linotype" w:hAnsi="Palatino Linotype" w:cs="Palatino Linotype"/>
          <w:sz w:val="20"/>
          <w:szCs w:val="20"/>
        </w:rPr>
      </w:pPr>
      <w:r>
        <w:rPr>
          <w:rFonts w:ascii="Palatino Linotype" w:hAnsi="Palatino Linotype" w:cs="Palatino Linotype"/>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Pr>
          <w:rFonts w:ascii="Palatino Linotype" w:hAnsi="Palatino Linotype" w:cs="Palatino Linotype"/>
          <w:color w:val="000000"/>
          <w:sz w:val="20"/>
        </w:rPr>
        <w:t>couber,</w:t>
      </w:r>
      <w:proofErr w:type="gramEnd"/>
      <w:r>
        <w:rPr>
          <w:rFonts w:ascii="Palatino Linotype" w:hAnsi="Palatino Linotype" w:cs="Palatino Linotype"/>
          <w:color w:val="000000"/>
          <w:sz w:val="20"/>
        </w:rPr>
        <w:t xml:space="preserve"> aos seguintes procedimentos: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A (reutilizáveis ou recicláveis como agregados): deverão ser reutilizados ou reciclados na forma de agregados, ou encaminhados a aterros de resíduos classe A de </w:t>
      </w:r>
      <w:proofErr w:type="spellStart"/>
      <w:r>
        <w:rPr>
          <w:rFonts w:ascii="Palatino Linotype" w:hAnsi="Palatino Linotype" w:cs="Palatino Linotype"/>
          <w:sz w:val="20"/>
        </w:rPr>
        <w:t>reservação</w:t>
      </w:r>
      <w:proofErr w:type="spellEnd"/>
      <w:r>
        <w:rPr>
          <w:rFonts w:ascii="Palatino Linotype" w:hAnsi="Palatino Linotype" w:cs="Palatino Linotype"/>
          <w:sz w:val="20"/>
        </w:rPr>
        <w:t xml:space="preserve"> de material para usos futuros;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B (recicláveis para outras destinações): deverão ser reutilizados, reciclados ou encaminhados a áreas de armazenamento temporário, sendo dispostos de modo a permitir a sua utilização ou reciclagem futura;</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D (perigosos, contaminados ou prejudiciais à saúde): deverão ser armazenados, transportados, reutilizados e destinados em conformidade com as normas técnicas específicas.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lastRenderedPageBreak/>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Pr>
          <w:rFonts w:ascii="Palatino Linotype" w:hAnsi="Palatino Linotype" w:cs="Palatino Linotype"/>
          <w:sz w:val="20"/>
        </w:rPr>
        <w:t>sob pena</w:t>
      </w:r>
      <w:proofErr w:type="gramEnd"/>
      <w:r>
        <w:rPr>
          <w:rFonts w:ascii="Palatino Linotype" w:hAnsi="Palatino Linotype" w:cs="Palatino Linotype"/>
          <w:sz w:val="20"/>
        </w:rPr>
        <w:t xml:space="preserve"> de multa, que todos os resíduos removidos estão acompanhados de Controle de Transporte de Resíduos, em conformidade com as normas da Agência Brasileira de Normas Técnicas - ABNT, ABNT NBR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15.112, 15.113, 15.114, 15.115 e 15.116, de 2004;</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Na execução contratual, conforme o caso, a emissão de ruídos não poderá ultrapassar os níveis considerados aceitáveis pela Norma NBR-</w:t>
      </w:r>
      <w:proofErr w:type="gramStart"/>
      <w:r>
        <w:rPr>
          <w:rFonts w:ascii="Palatino Linotype" w:hAnsi="Palatino Linotype" w:cs="Palatino Linotype"/>
          <w:sz w:val="20"/>
        </w:rPr>
        <w:t>10.151 - Avaliação</w:t>
      </w:r>
      <w:proofErr w:type="gramEnd"/>
      <w:r>
        <w:rPr>
          <w:rFonts w:ascii="Palatino Linotype" w:hAnsi="Palatino Linotype" w:cs="Palatino Linotype"/>
          <w:sz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lastRenderedPageBreak/>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Serão de exclusiva responsabilidade da contratada eventuais erros/equívocos no dimensionamento da proposta;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CONTROLE E FISCALIZAÇÃO DA EXECUÇÃO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ascii="Palatino Linotype" w:hAnsi="Palatino Linotype" w:cs="Palatino Linotype"/>
          <w:sz w:val="20"/>
        </w:rPr>
        <w:t>arts</w:t>
      </w:r>
      <w:proofErr w:type="spellEnd"/>
      <w:r>
        <w:rPr>
          <w:rFonts w:ascii="Palatino Linotype" w:hAnsi="Palatino Linotype" w:cs="Palatino Linotype"/>
          <w:sz w:val="20"/>
        </w:rPr>
        <w:t>. 67 e 73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ter a qualificação necessária para o acompanhamento e controle da execução dos serviços e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verificação da adequação da prestação do serviço deverá ser realizada com base nos critérios previstos neste Projeto Básico;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sidR="005E701B">
        <w:rPr>
          <w:rFonts w:ascii="Palatino Linotype" w:hAnsi="Palatino Linotype" w:cs="Palatino Linotype"/>
          <w:sz w:val="20"/>
        </w:rPr>
        <w:t>marca,</w:t>
      </w:r>
      <w:proofErr w:type="gramEnd"/>
      <w:r>
        <w:rPr>
          <w:rFonts w:ascii="Palatino Linotype" w:hAnsi="Palatino Linotype" w:cs="Palatino Linotype"/>
          <w:sz w:val="20"/>
        </w:rPr>
        <w:t xml:space="preserve"> qualidade e forma de uso;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DA SUBCONTRATAÇÃO</w:t>
      </w:r>
    </w:p>
    <w:p w:rsidR="008D15C4" w:rsidRDefault="009B090F">
      <w:pPr>
        <w:numPr>
          <w:ilvl w:val="1"/>
          <w:numId w:val="2"/>
        </w:numPr>
        <w:spacing w:after="360"/>
        <w:jc w:val="both"/>
      </w:pPr>
      <w:r>
        <w:rPr>
          <w:rFonts w:ascii="Palatino Linotype" w:hAnsi="Palatino Linotype" w:cs="Palatino Linotype"/>
          <w:sz w:val="20"/>
          <w:szCs w:val="20"/>
        </w:rPr>
        <w:t>Não será admitida a subcontratação do objeto licitatório;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SANÇÕES ADMINISTRATIVAS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 sanções relacionadas à execução contratual serão aquelas previstas no edital da licitação.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Integram este Projeto Básico, para todos os fins e efeitos, os seguintes anexos e impressos em mídia </w:t>
      </w:r>
      <w:r w:rsidR="004B714C">
        <w:rPr>
          <w:rFonts w:ascii="Palatino Linotype" w:hAnsi="Palatino Linotype" w:cs="Palatino Linotype"/>
          <w:sz w:val="20"/>
        </w:rPr>
        <w:t>digital (</w:t>
      </w:r>
      <w:r>
        <w:rPr>
          <w:rFonts w:ascii="Palatino Linotype" w:hAnsi="Palatino Linotype" w:cs="Palatino Linotype"/>
          <w:sz w:val="20"/>
        </w:rPr>
        <w:t>CD):</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Caderno de Encargos e Especificações Técnicas;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Estimativa de Custos e Formação de Preços;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Memória de Cálculo;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de Composição de BDI;</w:t>
      </w:r>
    </w:p>
    <w:p w:rsidR="008D15C4" w:rsidRDefault="009B090F">
      <w:pPr>
        <w:numPr>
          <w:ilvl w:val="2"/>
          <w:numId w:val="2"/>
        </w:numPr>
        <w:spacing w:after="360"/>
        <w:jc w:val="both"/>
      </w:pPr>
      <w:r>
        <w:rPr>
          <w:rFonts w:ascii="Palatino Linotype" w:eastAsia="Palatino Linotype" w:hAnsi="Palatino Linotype" w:cs="Palatino Linotype"/>
          <w:sz w:val="20"/>
        </w:rPr>
        <w:t xml:space="preserve"> </w:t>
      </w:r>
      <w:r>
        <w:rPr>
          <w:rFonts w:ascii="Palatino Linotype" w:hAnsi="Palatino Linotype" w:cs="Palatino Linotype"/>
          <w:sz w:val="20"/>
        </w:rPr>
        <w:t>Composição de preços unitário</w:t>
      </w:r>
      <w:r w:rsidR="00322E61">
        <w:rPr>
          <w:rFonts w:ascii="Palatino Linotype" w:hAnsi="Palatino Linotype" w:cs="Palatino Linotype"/>
          <w:sz w:val="20"/>
        </w:rPr>
        <w:t>s</w:t>
      </w:r>
      <w:r>
        <w:rPr>
          <w:rFonts w:ascii="Palatino Linotype" w:hAnsi="Palatino Linotype" w:cs="Palatino Linotype"/>
          <w:sz w:val="20"/>
        </w:rPr>
        <w:t xml:space="preserve"> para materiais, equipamentos e serviços;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Cronograma Físico-Financeiro;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Projeto Arquitetônico e/ou completar.</w:t>
      </w:r>
    </w:p>
    <w:p w:rsidR="008D15C4" w:rsidRPr="001A4A63" w:rsidRDefault="009B090F" w:rsidP="001A4A63">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88697C" w:rsidRDefault="0088697C">
      <w:pPr>
        <w:spacing w:after="360"/>
        <w:ind w:left="284"/>
        <w:jc w:val="center"/>
        <w:rPr>
          <w:rFonts w:ascii="Palatino Linotype" w:eastAsia="Arial Unicode MS" w:hAnsi="Palatino Linotype" w:cs="Palatino Linotype"/>
          <w:sz w:val="20"/>
          <w:szCs w:val="20"/>
        </w:rPr>
      </w:pPr>
    </w:p>
    <w:p w:rsidR="00207FF7" w:rsidRPr="0088697C" w:rsidRDefault="00101ECC">
      <w:pPr>
        <w:spacing w:after="360"/>
        <w:ind w:left="284"/>
        <w:jc w:val="center"/>
        <w:rPr>
          <w:rFonts w:ascii="Palatino Linotype" w:eastAsia="Arial Unicode MS" w:hAnsi="Palatino Linotype" w:cs="Palatino Linotype"/>
          <w:sz w:val="20"/>
          <w:szCs w:val="20"/>
        </w:rPr>
      </w:pPr>
      <w:r>
        <w:rPr>
          <w:rFonts w:ascii="Palatino Linotype" w:eastAsia="Arial Unicode MS" w:hAnsi="Palatino Linotype" w:cs="Palatino Linotype"/>
          <w:sz w:val="20"/>
          <w:szCs w:val="20"/>
        </w:rPr>
        <w:lastRenderedPageBreak/>
        <w:t>Arapir</w:t>
      </w:r>
      <w:r w:rsidR="00482EF8">
        <w:rPr>
          <w:rFonts w:ascii="Palatino Linotype" w:eastAsia="Arial Unicode MS" w:hAnsi="Palatino Linotype" w:cs="Palatino Linotype"/>
          <w:sz w:val="20"/>
          <w:szCs w:val="20"/>
        </w:rPr>
        <w:t>aca, 15</w:t>
      </w:r>
      <w:r w:rsidR="00905ABF">
        <w:rPr>
          <w:rFonts w:ascii="Palatino Linotype" w:eastAsia="Arial Unicode MS" w:hAnsi="Palatino Linotype" w:cs="Palatino Linotype"/>
          <w:sz w:val="20"/>
          <w:szCs w:val="20"/>
        </w:rPr>
        <w:t xml:space="preserve"> de setembro</w:t>
      </w:r>
      <w:r w:rsidR="00207FF7">
        <w:rPr>
          <w:rFonts w:ascii="Palatino Linotype" w:eastAsia="Arial Unicode MS" w:hAnsi="Palatino Linotype" w:cs="Palatino Linotype"/>
          <w:sz w:val="20"/>
          <w:szCs w:val="20"/>
        </w:rPr>
        <w:t xml:space="preserve"> de 2021</w:t>
      </w:r>
      <w:r w:rsidR="009B090F">
        <w:rPr>
          <w:rFonts w:ascii="Palatino Linotype" w:eastAsia="Arial Unicode MS" w:hAnsi="Palatino Linotype" w:cs="Palatino Linotype"/>
          <w:sz w:val="20"/>
          <w:szCs w:val="20"/>
        </w:rPr>
        <w:t>.</w:t>
      </w:r>
    </w:p>
    <w:p w:rsidR="00207FF7" w:rsidRDefault="00045B50" w:rsidP="00207FF7">
      <w:pPr>
        <w:tabs>
          <w:tab w:val="left" w:pos="3000"/>
          <w:tab w:val="left" w:pos="3365"/>
        </w:tabs>
        <w:spacing w:after="0" w:line="100" w:lineRule="atLeast"/>
        <w:jc w:val="center"/>
        <w:rPr>
          <w:rFonts w:ascii="Arial" w:hAnsi="Arial" w:cs="Arial"/>
        </w:rPr>
      </w:pPr>
      <w:r>
        <w:rPr>
          <w:rFonts w:ascii="Arial" w:hAnsi="Arial" w:cs="Arial"/>
        </w:rPr>
        <w:t>______________________________</w:t>
      </w:r>
    </w:p>
    <w:p w:rsidR="00207FF7" w:rsidRPr="00215C94" w:rsidRDefault="00207FF7" w:rsidP="00207FF7">
      <w:pPr>
        <w:spacing w:after="0"/>
        <w:jc w:val="center"/>
        <w:rPr>
          <w:rFonts w:ascii="Palatino Linotype" w:hAnsi="Palatino Linotype" w:cs="Palatino Linotype"/>
          <w:b/>
          <w:sz w:val="20"/>
        </w:rPr>
      </w:pPr>
      <w:proofErr w:type="spellStart"/>
      <w:r w:rsidRPr="00215C94">
        <w:rPr>
          <w:rFonts w:ascii="Palatino Linotype" w:hAnsi="Palatino Linotype" w:cs="Palatino Linotype"/>
          <w:b/>
          <w:sz w:val="20"/>
        </w:rPr>
        <w:t>Sileide</w:t>
      </w:r>
      <w:proofErr w:type="spellEnd"/>
      <w:r w:rsidRPr="00215C94">
        <w:rPr>
          <w:rFonts w:ascii="Palatino Linotype" w:hAnsi="Palatino Linotype" w:cs="Palatino Linotype"/>
          <w:b/>
          <w:sz w:val="20"/>
        </w:rPr>
        <w:t xml:space="preserve"> Barbosa de Oliveira </w:t>
      </w:r>
    </w:p>
    <w:p w:rsidR="00207FF7" w:rsidRDefault="00207FF7" w:rsidP="00207FF7">
      <w:pPr>
        <w:spacing w:after="0"/>
        <w:jc w:val="center"/>
        <w:rPr>
          <w:rFonts w:ascii="Palatino Linotype" w:hAnsi="Palatino Linotype" w:cs="Palatino Linotype"/>
          <w:sz w:val="20"/>
        </w:rPr>
      </w:pPr>
      <w:r w:rsidRPr="00215C94">
        <w:rPr>
          <w:rFonts w:ascii="Palatino Linotype" w:hAnsi="Palatino Linotype" w:cs="Palatino Linotype"/>
          <w:sz w:val="20"/>
        </w:rPr>
        <w:t>Mat.120258</w:t>
      </w:r>
    </w:p>
    <w:p w:rsidR="00045B50" w:rsidRDefault="00045B50" w:rsidP="00207FF7">
      <w:pPr>
        <w:spacing w:after="0"/>
        <w:jc w:val="center"/>
        <w:rPr>
          <w:rFonts w:ascii="Palatino Linotype" w:hAnsi="Palatino Linotype" w:cs="Palatino Linotype"/>
          <w:sz w:val="20"/>
        </w:rPr>
      </w:pPr>
    </w:p>
    <w:p w:rsidR="00045B50" w:rsidRPr="00215C94" w:rsidRDefault="00045B50" w:rsidP="00207FF7">
      <w:pPr>
        <w:spacing w:after="0"/>
        <w:jc w:val="center"/>
        <w:rPr>
          <w:rFonts w:ascii="Palatino Linotype" w:hAnsi="Palatino Linotype" w:cs="Palatino Linotype"/>
          <w:sz w:val="20"/>
        </w:rPr>
      </w:pPr>
    </w:p>
    <w:p w:rsidR="00045B50" w:rsidRDefault="00045B50" w:rsidP="00045B50">
      <w:pPr>
        <w:tabs>
          <w:tab w:val="left" w:pos="3000"/>
          <w:tab w:val="left" w:pos="3365"/>
        </w:tabs>
        <w:spacing w:after="0" w:line="240" w:lineRule="auto"/>
        <w:jc w:val="center"/>
        <w:rPr>
          <w:rFonts w:ascii="Arial" w:hAnsi="Arial" w:cs="Arial"/>
        </w:rPr>
      </w:pPr>
      <w:r>
        <w:rPr>
          <w:rFonts w:ascii="Arial" w:hAnsi="Arial" w:cs="Arial"/>
        </w:rPr>
        <w:t>______________________________</w:t>
      </w:r>
    </w:p>
    <w:p w:rsidR="00DF6FE4" w:rsidRPr="00DF6FE4" w:rsidRDefault="00DF6FE4" w:rsidP="00DF6FE4">
      <w:pPr>
        <w:spacing w:after="0" w:line="276" w:lineRule="auto"/>
        <w:jc w:val="center"/>
        <w:rPr>
          <w:rFonts w:ascii="Palatino Linotype" w:hAnsi="Palatino Linotype" w:cs="Palatino Linotype"/>
          <w:b/>
          <w:sz w:val="20"/>
        </w:rPr>
      </w:pPr>
      <w:r w:rsidRPr="00DF6FE4">
        <w:rPr>
          <w:rFonts w:ascii="Palatino Linotype" w:hAnsi="Palatino Linotype" w:cs="Palatino Linotype"/>
          <w:b/>
          <w:sz w:val="20"/>
        </w:rPr>
        <w:t xml:space="preserve">Marcus Vinicius Nunes Silva </w:t>
      </w:r>
    </w:p>
    <w:p w:rsidR="00DF6FE4" w:rsidRPr="00DF6FE4" w:rsidRDefault="00DF6FE4" w:rsidP="00DF6FE4">
      <w:pPr>
        <w:spacing w:after="0" w:line="276" w:lineRule="auto"/>
        <w:jc w:val="center"/>
        <w:rPr>
          <w:rFonts w:ascii="Palatino Linotype" w:hAnsi="Palatino Linotype" w:cs="Palatino Linotype"/>
          <w:sz w:val="20"/>
        </w:rPr>
      </w:pPr>
      <w:r w:rsidRPr="00DF6FE4">
        <w:rPr>
          <w:rFonts w:ascii="Palatino Linotype" w:hAnsi="Palatino Linotype" w:cs="Palatino Linotype"/>
          <w:sz w:val="20"/>
        </w:rPr>
        <w:t xml:space="preserve">Engenheiro Civil </w:t>
      </w:r>
    </w:p>
    <w:p w:rsidR="00207FF7" w:rsidRPr="00DF6FE4" w:rsidRDefault="00DF6FE4" w:rsidP="00DF6FE4">
      <w:pPr>
        <w:spacing w:after="0" w:line="276" w:lineRule="auto"/>
        <w:jc w:val="center"/>
        <w:rPr>
          <w:rFonts w:ascii="Palatino Linotype" w:hAnsi="Palatino Linotype" w:cs="Palatino Linotype"/>
          <w:sz w:val="20"/>
        </w:rPr>
      </w:pPr>
      <w:r w:rsidRPr="00DF6FE4">
        <w:rPr>
          <w:rFonts w:ascii="Palatino Linotype" w:hAnsi="Palatino Linotype" w:cs="Palatino Linotype"/>
          <w:sz w:val="20"/>
        </w:rPr>
        <w:t>CREA Nº 0216086124</w:t>
      </w:r>
    </w:p>
    <w:p w:rsidR="00045B50" w:rsidRPr="00215C94" w:rsidRDefault="00045B50" w:rsidP="00207FF7">
      <w:pPr>
        <w:spacing w:after="0" w:line="276" w:lineRule="auto"/>
        <w:jc w:val="center"/>
        <w:rPr>
          <w:rFonts w:ascii="Palatino Linotype" w:hAnsi="Palatino Linotype" w:cs="Palatino Linotype"/>
          <w:sz w:val="20"/>
        </w:rPr>
      </w:pPr>
    </w:p>
    <w:p w:rsidR="00045B50" w:rsidRDefault="00045B50" w:rsidP="00045B50">
      <w:pPr>
        <w:tabs>
          <w:tab w:val="left" w:pos="3000"/>
          <w:tab w:val="left" w:pos="3365"/>
        </w:tabs>
        <w:spacing w:after="0" w:line="240" w:lineRule="auto"/>
        <w:jc w:val="center"/>
        <w:rPr>
          <w:rFonts w:ascii="Arial" w:hAnsi="Arial" w:cs="Arial"/>
        </w:rPr>
      </w:pPr>
      <w:r>
        <w:rPr>
          <w:rFonts w:ascii="Arial" w:hAnsi="Arial" w:cs="Arial"/>
        </w:rPr>
        <w:t>______________________________</w:t>
      </w:r>
    </w:p>
    <w:p w:rsidR="00207FF7" w:rsidRPr="00215C94" w:rsidRDefault="00207FF7" w:rsidP="00045B50">
      <w:pPr>
        <w:spacing w:after="0" w:line="240" w:lineRule="auto"/>
        <w:jc w:val="center"/>
        <w:rPr>
          <w:rFonts w:ascii="Palatino Linotype" w:hAnsi="Palatino Linotype" w:cs="Palatino Linotype"/>
          <w:b/>
          <w:sz w:val="20"/>
        </w:rPr>
      </w:pPr>
      <w:proofErr w:type="spellStart"/>
      <w:r w:rsidRPr="00215C94">
        <w:rPr>
          <w:rFonts w:ascii="Palatino Linotype" w:hAnsi="Palatino Linotype" w:cs="Palatino Linotype"/>
          <w:b/>
          <w:sz w:val="20"/>
        </w:rPr>
        <w:t>Roany</w:t>
      </w:r>
      <w:proofErr w:type="spellEnd"/>
      <w:r w:rsidRPr="00215C94">
        <w:rPr>
          <w:rFonts w:ascii="Palatino Linotype" w:hAnsi="Palatino Linotype" w:cs="Palatino Linotype"/>
          <w:b/>
          <w:sz w:val="20"/>
        </w:rPr>
        <w:t xml:space="preserve"> </w:t>
      </w:r>
      <w:proofErr w:type="spellStart"/>
      <w:r w:rsidRPr="00215C94">
        <w:rPr>
          <w:rFonts w:ascii="Palatino Linotype" w:hAnsi="Palatino Linotype" w:cs="Palatino Linotype"/>
          <w:b/>
          <w:sz w:val="20"/>
        </w:rPr>
        <w:t>Izidoro</w:t>
      </w:r>
      <w:proofErr w:type="spellEnd"/>
      <w:r w:rsidRPr="00215C94">
        <w:rPr>
          <w:rFonts w:ascii="Palatino Linotype" w:hAnsi="Palatino Linotype" w:cs="Palatino Linotype"/>
          <w:b/>
          <w:sz w:val="20"/>
        </w:rPr>
        <w:t xml:space="preserve"> Soares Alves</w:t>
      </w:r>
    </w:p>
    <w:p w:rsidR="00207FF7" w:rsidRPr="00215C94" w:rsidRDefault="00207FF7" w:rsidP="00045B50">
      <w:pPr>
        <w:pStyle w:val="Ttulo3"/>
        <w:numPr>
          <w:ilvl w:val="2"/>
          <w:numId w:val="3"/>
        </w:numPr>
        <w:tabs>
          <w:tab w:val="left" w:pos="2880"/>
        </w:tabs>
        <w:spacing w:after="0" w:line="240" w:lineRule="auto"/>
        <w:ind w:left="720" w:hanging="720"/>
        <w:jc w:val="center"/>
        <w:rPr>
          <w:rFonts w:ascii="Palatino Linotype" w:hAnsi="Palatino Linotype" w:cs="Palatino Linotype"/>
          <w:sz w:val="20"/>
          <w:szCs w:val="22"/>
        </w:rPr>
      </w:pPr>
      <w:r w:rsidRPr="00215C94">
        <w:rPr>
          <w:rFonts w:ascii="Palatino Linotype" w:hAnsi="Palatino Linotype" w:cs="Palatino Linotype"/>
          <w:sz w:val="20"/>
          <w:szCs w:val="22"/>
        </w:rPr>
        <w:t>Secretário Municipal de Infraestrutura</w:t>
      </w:r>
    </w:p>
    <w:p w:rsidR="00207FF7" w:rsidRDefault="00207FF7" w:rsidP="00045B50">
      <w:pPr>
        <w:spacing w:after="0" w:line="240" w:lineRule="auto"/>
        <w:jc w:val="center"/>
      </w:pPr>
    </w:p>
    <w:sectPr w:rsidR="00207FF7">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A5F" w:rsidRDefault="00900A5F">
      <w:pPr>
        <w:spacing w:after="0" w:line="240" w:lineRule="auto"/>
      </w:pPr>
      <w:r>
        <w:separator/>
      </w:r>
    </w:p>
  </w:endnote>
  <w:endnote w:type="continuationSeparator" w:id="0">
    <w:p w:rsidR="00900A5F" w:rsidRDefault="00900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970765"/>
      <w:docPartObj>
        <w:docPartGallery w:val="Page Numbers (Bottom of Page)"/>
        <w:docPartUnique/>
      </w:docPartObj>
    </w:sdtPr>
    <w:sdtEndPr/>
    <w:sdtContent>
      <w:sdt>
        <w:sdtPr>
          <w:id w:val="860082579"/>
          <w:docPartObj>
            <w:docPartGallery w:val="Page Numbers (Top of Page)"/>
            <w:docPartUnique/>
          </w:docPartObj>
        </w:sdtPr>
        <w:sdtEndPr/>
        <w:sdtContent>
          <w:p w:rsidR="005C178F" w:rsidRDefault="005C178F">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754F29">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754F29">
              <w:rPr>
                <w:b/>
                <w:bCs/>
                <w:noProof/>
              </w:rPr>
              <w:t>11</w:t>
            </w:r>
            <w:r>
              <w:rPr>
                <w:b/>
                <w:bCs/>
                <w:sz w:val="24"/>
                <w:szCs w:val="24"/>
              </w:rPr>
              <w:fldChar w:fldCharType="end"/>
            </w:r>
          </w:p>
        </w:sdtContent>
      </w:sdt>
    </w:sdtContent>
  </w:sdt>
  <w:p w:rsidR="008D15C4" w:rsidRDefault="008D15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A5F" w:rsidRDefault="00900A5F">
      <w:pPr>
        <w:spacing w:after="0" w:line="240" w:lineRule="auto"/>
      </w:pPr>
      <w:r>
        <w:separator/>
      </w:r>
    </w:p>
  </w:footnote>
  <w:footnote w:type="continuationSeparator" w:id="0">
    <w:p w:rsidR="00900A5F" w:rsidRDefault="00900A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9B090F">
    <w:pPr>
      <w:pStyle w:val="Cabealho"/>
      <w:tabs>
        <w:tab w:val="left" w:pos="4940"/>
      </w:tabs>
    </w:pPr>
    <w:r>
      <w:rPr>
        <w:noProof/>
        <w:lang w:eastAsia="pt-BR"/>
      </w:rPr>
      <mc:AlternateContent>
        <mc:Choice Requires="wps">
          <w:drawing>
            <wp:anchor distT="0" distB="0" distL="114300" distR="114300" simplePos="0" relativeHeight="67" behindDoc="1" locked="0" layoutInCell="1" allowOverlap="1" wp14:anchorId="0E583845" wp14:editId="697379FE">
              <wp:simplePos x="0" y="0"/>
              <wp:positionH relativeFrom="margin">
                <wp:align>right</wp:align>
              </wp:positionH>
              <wp:positionV relativeFrom="paragraph">
                <wp:posOffset>559435</wp:posOffset>
              </wp:positionV>
              <wp:extent cx="5953125" cy="34925"/>
              <wp:effectExtent l="0" t="0" r="3810" b="0"/>
              <wp:wrapNone/>
              <wp:docPr id="1" name="Retângulo 4"/>
              <wp:cNvGraphicFramePr/>
              <a:graphic xmlns:a="http://schemas.openxmlformats.org/drawingml/2006/main">
                <a:graphicData uri="http://schemas.microsoft.com/office/word/2010/wordprocessingShape">
                  <wps:wsp>
                    <wps:cNvSpPr/>
                    <wps:spPr>
                      <a:xfrm>
                        <a:off x="0" y="0"/>
                        <a:ext cx="5952600" cy="34200"/>
                      </a:xfrm>
                      <a:prstGeom prst="rect">
                        <a:avLst/>
                      </a:prstGeom>
                      <a:solidFill>
                        <a:srgbClr val="FBBA00"/>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4" fillcolor="#fbba00" stroked="f" style="position:absolute;margin-left:-10.35pt;margin-top:44.05pt;width:468.65pt;height:2.65pt;mso-position-horizontal:right;mso-position-horizontal-relative:margin" wp14:anchorId="2ADEE977">
              <w10:wrap type="none"/>
              <v:fill o:detectmouseclick="t" type="solid" color2="#0445ff"/>
              <v:stroke color="#3465a4" weight="12600" joinstyle="miter" endcap="flat"/>
            </v:rect>
          </w:pict>
        </mc:Fallback>
      </mc:AlternateContent>
    </w:r>
    <w:r>
      <w:rPr>
        <w:noProof/>
        <w:lang w:eastAsia="pt-BR"/>
      </w:rPr>
      <mc:AlternateContent>
        <mc:Choice Requires="wps">
          <w:drawing>
            <wp:anchor distT="45720" distB="45720" distL="114300" distR="114300" simplePos="0" relativeHeight="89" behindDoc="1" locked="0" layoutInCell="1" allowOverlap="1" wp14:anchorId="0E1BF7B1" wp14:editId="61FA02C9">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Pr>
        <w:noProof/>
        <w:lang w:eastAsia="pt-BR"/>
      </w:rPr>
      <w:drawing>
        <wp:anchor distT="0" distB="0" distL="114300" distR="114300" simplePos="0" relativeHeight="56" behindDoc="1" locked="0" layoutInCell="1" allowOverlap="1" wp14:anchorId="4F49CFC8" wp14:editId="5DB501AC">
          <wp:simplePos x="0" y="0"/>
          <wp:positionH relativeFrom="column">
            <wp:posOffset>66040</wp:posOffset>
          </wp:positionH>
          <wp:positionV relativeFrom="paragraph">
            <wp:posOffset>-116205</wp:posOffset>
          </wp:positionV>
          <wp:extent cx="1800225" cy="654050"/>
          <wp:effectExtent l="0" t="0" r="0" b="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rcRect l="5204" r="7457"/>
                  <a:stretch>
                    <a:fillRect/>
                  </a:stretch>
                </pic:blipFill>
                <pic:spPr bwMode="auto">
                  <a:xfrm>
                    <a:off x="0" y="0"/>
                    <a:ext cx="1800225" cy="654050"/>
                  </a:xfrm>
                  <a:prstGeom prst="rect">
                    <a:avLst/>
                  </a:prstGeom>
                </pic:spPr>
              </pic:pic>
            </a:graphicData>
          </a:graphic>
        </wp:anchor>
      </w:drawing>
    </w:r>
    <w:r>
      <w:rPr>
        <w:rFonts w:ascii="Arial" w:hAnsi="Arial" w:cs="Arial"/>
        <w:sz w:val="24"/>
        <w:szCs w:val="24"/>
        <w:lang w:eastAsia="pt-BR"/>
      </w:rPr>
      <w:t xml:space="preserve"> </w:t>
    </w:r>
    <w:r>
      <w:tab/>
    </w:r>
  </w:p>
  <w:p w:rsidR="008D15C4" w:rsidRDefault="009B090F">
    <w:pPr>
      <w:pStyle w:val="Cabealho"/>
      <w:tabs>
        <w:tab w:val="left" w:pos="1590"/>
      </w:tabs>
    </w:pPr>
    <w:r>
      <w:tab/>
    </w:r>
  </w:p>
  <w:p w:rsidR="008D15C4" w:rsidRDefault="008D15C4">
    <w:pPr>
      <w:pStyle w:val="Cabealho"/>
      <w:tabs>
        <w:tab w:val="left" w:pos="4940"/>
      </w:tabs>
    </w:pPr>
  </w:p>
  <w:p w:rsidR="008D15C4" w:rsidRDefault="009B090F">
    <w:pPr>
      <w:pStyle w:val="Cabealho"/>
      <w:tabs>
        <w:tab w:val="left" w:pos="4940"/>
      </w:tabs>
    </w:pPr>
    <w:r>
      <w:rPr>
        <w:noProof/>
        <w:lang w:eastAsia="pt-BR"/>
      </w:rPr>
      <mc:AlternateContent>
        <mc:Choice Requires="wps">
          <w:drawing>
            <wp:anchor distT="0" distB="0" distL="114300" distR="114300" simplePos="0" relativeHeight="34" behindDoc="1" locked="0" layoutInCell="1" allowOverlap="1" wp14:anchorId="040E1168" wp14:editId="2ABE882B">
              <wp:simplePos x="0" y="0"/>
              <wp:positionH relativeFrom="column">
                <wp:posOffset>5127625</wp:posOffset>
              </wp:positionH>
              <wp:positionV relativeFrom="paragraph">
                <wp:posOffset>8259445</wp:posOffset>
              </wp:positionV>
              <wp:extent cx="2800350" cy="851535"/>
              <wp:effectExtent l="978535" t="0" r="1060450" b="0"/>
              <wp:wrapNone/>
              <wp:docPr id="5" name="Retângulo 10"/>
              <wp:cNvGraphicFramePr/>
              <a:graphic xmlns:a="http://schemas.openxmlformats.org/drawingml/2006/main">
                <a:graphicData uri="http://schemas.microsoft.com/office/word/2010/wordprocessingShape">
                  <wps:wsp>
                    <wps:cNvSpPr/>
                    <wps:spPr>
                      <a:xfrm rot="17872800">
                        <a:off x="0" y="0"/>
                        <a:ext cx="2799720" cy="851040"/>
                      </a:xfrm>
                      <a:prstGeom prst="rect">
                        <a:avLst/>
                      </a:prstGeom>
                      <a:solidFill>
                        <a:srgbClr val="26985A"/>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10" fillcolor="#26985a" stroked="f" style="position:absolute;margin-left:403.8pt;margin-top:650.3pt;width:220.4pt;height:66.95pt;rotation:298" wp14:anchorId="045FCB75">
              <w10:wrap type="none"/>
              <v:fill o:detectmouseclick="t" type="solid" color2="#d967a5"/>
              <v:stroke color="#3465a4" weight="12600" joinstyle="miter" endcap="flat"/>
            </v:rect>
          </w:pict>
        </mc:Fallback>
      </mc:AlternateContent>
    </w:r>
    <w:r>
      <w:rPr>
        <w:noProof/>
        <w:lang w:eastAsia="pt-BR"/>
      </w:rPr>
      <mc:AlternateContent>
        <mc:Choice Requires="wps">
          <w:drawing>
            <wp:anchor distT="0" distB="0" distL="114300" distR="114300" simplePos="0" relativeHeight="45" behindDoc="1" locked="0" layoutInCell="1" allowOverlap="1" wp14:anchorId="6A7A94BD" wp14:editId="7BA8FC8F">
              <wp:simplePos x="0" y="0"/>
              <wp:positionH relativeFrom="column">
                <wp:posOffset>4484370</wp:posOffset>
              </wp:positionH>
              <wp:positionV relativeFrom="paragraph">
                <wp:posOffset>8034020</wp:posOffset>
              </wp:positionV>
              <wp:extent cx="3787775" cy="32385"/>
              <wp:effectExtent l="1640205" t="0" r="1630680" b="0"/>
              <wp:wrapNone/>
              <wp:docPr id="6" name="Retângulo 9"/>
              <wp:cNvGraphicFramePr/>
              <a:graphic xmlns:a="http://schemas.openxmlformats.org/drawingml/2006/main">
                <a:graphicData uri="http://schemas.microsoft.com/office/word/2010/wordprocessingShape">
                  <wps:wsp>
                    <wps:cNvSpPr/>
                    <wps:spPr>
                      <a:xfrm rot="17874600">
                        <a:off x="0" y="0"/>
                        <a:ext cx="3787200" cy="31680"/>
                      </a:xfrm>
                      <a:prstGeom prst="rect">
                        <a:avLst/>
                      </a:prstGeom>
                      <a:solidFill>
                        <a:srgbClr val="2D2E83"/>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ângulo 9" fillcolor="#2d2e83" stroked="f" style="position:absolute;margin-left:353.1pt;margin-top:632.55pt;width:298.15pt;height:2.45pt;rotation:298" wp14:anchorId="48C966C4">
              <w10:wrap type="none"/>
              <v:fill o:detectmouseclick="t" type="solid" color2="#d2d17c"/>
              <v:stroke color="#3465a4" weight="12600" joinstyle="miter" endcap="flat"/>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306"/>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32B0D"/>
    <w:rsid w:val="00033123"/>
    <w:rsid w:val="00040AA1"/>
    <w:rsid w:val="00045B50"/>
    <w:rsid w:val="00083C06"/>
    <w:rsid w:val="000F3E64"/>
    <w:rsid w:val="00101ECC"/>
    <w:rsid w:val="00115A6C"/>
    <w:rsid w:val="0017024F"/>
    <w:rsid w:val="001739EE"/>
    <w:rsid w:val="00181A46"/>
    <w:rsid w:val="001856E4"/>
    <w:rsid w:val="001A4A63"/>
    <w:rsid w:val="001B33D0"/>
    <w:rsid w:val="00207FF7"/>
    <w:rsid w:val="00214D7E"/>
    <w:rsid w:val="00215C94"/>
    <w:rsid w:val="0021664E"/>
    <w:rsid w:val="002651ED"/>
    <w:rsid w:val="00293AB8"/>
    <w:rsid w:val="00294D54"/>
    <w:rsid w:val="002A2CC1"/>
    <w:rsid w:val="002B51D8"/>
    <w:rsid w:val="002D0B4F"/>
    <w:rsid w:val="00322E61"/>
    <w:rsid w:val="00362B6B"/>
    <w:rsid w:val="003942F9"/>
    <w:rsid w:val="003C0221"/>
    <w:rsid w:val="003F5E8A"/>
    <w:rsid w:val="00477E3D"/>
    <w:rsid w:val="00482EF8"/>
    <w:rsid w:val="004B714C"/>
    <w:rsid w:val="004C1D37"/>
    <w:rsid w:val="004F17C3"/>
    <w:rsid w:val="00560D24"/>
    <w:rsid w:val="005C178F"/>
    <w:rsid w:val="005C1952"/>
    <w:rsid w:val="005D6D4E"/>
    <w:rsid w:val="005E701B"/>
    <w:rsid w:val="00616934"/>
    <w:rsid w:val="006D3AED"/>
    <w:rsid w:val="006E551F"/>
    <w:rsid w:val="00740630"/>
    <w:rsid w:val="00752B5E"/>
    <w:rsid w:val="00754F29"/>
    <w:rsid w:val="007B6837"/>
    <w:rsid w:val="007D369E"/>
    <w:rsid w:val="00817001"/>
    <w:rsid w:val="00866183"/>
    <w:rsid w:val="00866CB5"/>
    <w:rsid w:val="0088697C"/>
    <w:rsid w:val="008A6A1B"/>
    <w:rsid w:val="008D15C4"/>
    <w:rsid w:val="00900A5F"/>
    <w:rsid w:val="009018FD"/>
    <w:rsid w:val="00905ABF"/>
    <w:rsid w:val="0090741B"/>
    <w:rsid w:val="009154F3"/>
    <w:rsid w:val="00950CED"/>
    <w:rsid w:val="009711CF"/>
    <w:rsid w:val="009B090F"/>
    <w:rsid w:val="009C44DE"/>
    <w:rsid w:val="009F0DCE"/>
    <w:rsid w:val="009F6F12"/>
    <w:rsid w:val="00AF45FC"/>
    <w:rsid w:val="00B224F1"/>
    <w:rsid w:val="00B5053A"/>
    <w:rsid w:val="00B67197"/>
    <w:rsid w:val="00BB5EF4"/>
    <w:rsid w:val="00BC6201"/>
    <w:rsid w:val="00BD7B5B"/>
    <w:rsid w:val="00C201EC"/>
    <w:rsid w:val="00C5495E"/>
    <w:rsid w:val="00CF5E4D"/>
    <w:rsid w:val="00D1792C"/>
    <w:rsid w:val="00D24312"/>
    <w:rsid w:val="00D300F1"/>
    <w:rsid w:val="00D30586"/>
    <w:rsid w:val="00D46763"/>
    <w:rsid w:val="00D641C0"/>
    <w:rsid w:val="00D64C2D"/>
    <w:rsid w:val="00D86AAE"/>
    <w:rsid w:val="00DF6FE4"/>
    <w:rsid w:val="00E032F7"/>
    <w:rsid w:val="00EB6672"/>
    <w:rsid w:val="00ED7C26"/>
    <w:rsid w:val="00F64A9C"/>
    <w:rsid w:val="00F762A2"/>
    <w:rsid w:val="00FA713C"/>
    <w:rsid w:val="00FD536B"/>
    <w:rsid w:val="00FF64C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249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FC702-8F5C-43A8-A310-3E53385DD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4016</Words>
  <Characters>21690</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64</cp:revision>
  <cp:lastPrinted>2021-10-06T14:36:00Z</cp:lastPrinted>
  <dcterms:created xsi:type="dcterms:W3CDTF">2021-04-08T18:36:00Z</dcterms:created>
  <dcterms:modified xsi:type="dcterms:W3CDTF">2021-10-06T17:49:00Z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